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</w:t>
            </w:r>
            <w:r>
              <w:rPr>
                <w:sz w:val="28"/>
                <w:szCs w:val="28"/>
              </w:rPr>
              <w:t xml:space="preserve">7»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109-ср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спортивный разряд «</w:t>
      </w:r>
      <w:r>
        <w:rPr>
          <w:sz w:val="28"/>
          <w:szCs w:val="28"/>
        </w:rPr>
        <w:t xml:space="preserve">кандидат в мастера спорта</w:t>
      </w:r>
      <w:r>
        <w:rPr>
          <w:sz w:val="28"/>
          <w:szCs w:val="28"/>
        </w:rPr>
        <w:t xml:space="preserve">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Спортивная борьба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6"/>
        <w:gridCol w:w="2126"/>
        <w:gridCol w:w="3160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Щукин Геннадий Александрович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Грязи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ЛРОО «Федерация спортивной борьбы»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167</cp:revision>
  <dcterms:created xsi:type="dcterms:W3CDTF">2023-01-24T14:45:00Z</dcterms:created>
  <dcterms:modified xsi:type="dcterms:W3CDTF">2025-03-31T05:29:26Z</dcterms:modified>
  <cp:version>983040</cp:version>
</cp:coreProperties>
</file>